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0E59E" w14:textId="76E99796" w:rsidR="00E92A3F" w:rsidRDefault="00E92A3F">
      <w:pPr>
        <w:pStyle w:val="BodyText"/>
        <w:ind w:left="357"/>
        <w:rPr>
          <w:rFonts w:ascii="Times New Roman"/>
          <w:sz w:val="20"/>
          <w:u w:val="none"/>
        </w:rPr>
      </w:pPr>
    </w:p>
    <w:p w14:paraId="4785E20C" w14:textId="77777777" w:rsidR="00E92A3F" w:rsidRDefault="00E92A3F">
      <w:pPr>
        <w:pStyle w:val="BodyText"/>
        <w:spacing w:before="2"/>
        <w:rPr>
          <w:rFonts w:ascii="Times New Roman"/>
          <w:sz w:val="17"/>
          <w:u w:val="none"/>
        </w:rPr>
      </w:pPr>
    </w:p>
    <w:p w14:paraId="3AD7ECA1" w14:textId="77777777" w:rsidR="00E92A3F" w:rsidRDefault="00E92A3F">
      <w:pPr>
        <w:pStyle w:val="BodyText"/>
        <w:rPr>
          <w:sz w:val="18"/>
          <w:u w:val="none"/>
        </w:rPr>
      </w:pPr>
    </w:p>
    <w:p w14:paraId="089DB7D4" w14:textId="77777777" w:rsidR="00E92A3F" w:rsidRDefault="00E92A3F">
      <w:pPr>
        <w:pStyle w:val="BodyText"/>
        <w:spacing w:before="6"/>
        <w:rPr>
          <w:sz w:val="17"/>
          <w:u w:val="none"/>
        </w:rPr>
      </w:pPr>
    </w:p>
    <w:p w14:paraId="25A2039A" w14:textId="4B040129" w:rsidR="00E92A3F" w:rsidRPr="000F6995" w:rsidRDefault="003E0EF5" w:rsidP="00E67FAD">
      <w:pPr>
        <w:pStyle w:val="Heading1"/>
        <w:jc w:val="center"/>
        <w:rPr>
          <w:sz w:val="40"/>
          <w:szCs w:val="40"/>
        </w:rPr>
      </w:pPr>
      <w:r w:rsidRPr="000F6995">
        <w:rPr>
          <w:color w:val="181818"/>
          <w:w w:val="105"/>
          <w:sz w:val="40"/>
          <w:szCs w:val="40"/>
        </w:rPr>
        <w:t>Alternative Treatment Technologies (ATTs)</w:t>
      </w:r>
    </w:p>
    <w:p w14:paraId="07B18425" w14:textId="77777777" w:rsidR="00E92A3F" w:rsidRDefault="00E92A3F">
      <w:pPr>
        <w:rPr>
          <w:sz w:val="20"/>
        </w:rPr>
      </w:pPr>
    </w:p>
    <w:p w14:paraId="19A73780" w14:textId="77777777" w:rsidR="003E0EF5" w:rsidRDefault="003E0EF5">
      <w:pPr>
        <w:rPr>
          <w:sz w:val="20"/>
        </w:rPr>
      </w:pPr>
    </w:p>
    <w:p w14:paraId="5193BA2F" w14:textId="77777777" w:rsidR="003E0EF5" w:rsidRDefault="003E0EF5">
      <w:pPr>
        <w:rPr>
          <w:sz w:val="20"/>
        </w:rPr>
      </w:pPr>
    </w:p>
    <w:p w14:paraId="03F1CE42" w14:textId="77777777" w:rsidR="003E0EF5" w:rsidRDefault="003E0EF5">
      <w:pPr>
        <w:rPr>
          <w:sz w:val="20"/>
        </w:rPr>
      </w:pPr>
    </w:p>
    <w:p w14:paraId="58D9B8D2" w14:textId="719889F7" w:rsidR="003E0EF5" w:rsidRDefault="003E0EF5">
      <w:pPr>
        <w:rPr>
          <w:sz w:val="20"/>
        </w:rPr>
        <w:sectPr w:rsidR="003E0EF5">
          <w:type w:val="continuous"/>
          <w:pgSz w:w="12240" w:h="15840"/>
          <w:pgMar w:top="1000" w:right="600" w:bottom="280" w:left="700" w:header="720" w:footer="720" w:gutter="0"/>
          <w:cols w:space="720"/>
        </w:sectPr>
      </w:pPr>
    </w:p>
    <w:p w14:paraId="0E9E36C7" w14:textId="34EAB1D3" w:rsidR="00E92A3F" w:rsidRPr="000F6995" w:rsidRDefault="003E0EF5" w:rsidP="003E0EF5">
      <w:pPr>
        <w:pStyle w:val="Heading2"/>
        <w:ind w:left="0"/>
        <w:rPr>
          <w:color w:val="FFFFFF" w:themeColor="background1"/>
          <w:sz w:val="32"/>
          <w:szCs w:val="32"/>
        </w:rPr>
      </w:pPr>
      <w:r w:rsidRPr="000F6995">
        <w:rPr>
          <w:color w:val="FFFFFF" w:themeColor="background1"/>
          <w:sz w:val="24"/>
          <w:szCs w:val="24"/>
        </w:rPr>
        <w:t xml:space="preserve">  </w:t>
      </w:r>
      <w:r w:rsidRPr="000F6995">
        <w:rPr>
          <w:color w:val="FFFFFF" w:themeColor="background1"/>
          <w:sz w:val="32"/>
          <w:szCs w:val="32"/>
          <w:highlight w:val="black"/>
        </w:rPr>
        <w:t>Overview</w:t>
      </w:r>
    </w:p>
    <w:p w14:paraId="7D5047D8" w14:textId="1071C044" w:rsidR="00E92A3F" w:rsidRPr="00E67FAD" w:rsidRDefault="00E92A3F" w:rsidP="00E67FAD">
      <w:pPr>
        <w:pStyle w:val="BodyText"/>
        <w:rPr>
          <w:b/>
          <w:sz w:val="12"/>
          <w:u w:val="none"/>
        </w:rPr>
        <w:sectPr w:rsidR="00E92A3F" w:rsidRPr="00E67FAD">
          <w:type w:val="continuous"/>
          <w:pgSz w:w="12240" w:h="15840"/>
          <w:pgMar w:top="1000" w:right="600" w:bottom="280" w:left="700" w:header="720" w:footer="720" w:gutter="0"/>
          <w:cols w:num="2" w:space="720" w:equalWidth="0">
            <w:col w:w="2800" w:space="40"/>
            <w:col w:w="8100"/>
          </w:cols>
        </w:sectPr>
      </w:pPr>
    </w:p>
    <w:p w14:paraId="0BE132F7" w14:textId="2AB4AB1E" w:rsidR="00E92A3F" w:rsidRDefault="00E92A3F">
      <w:pPr>
        <w:pStyle w:val="BodyText"/>
        <w:spacing w:before="7"/>
        <w:rPr>
          <w:sz w:val="11"/>
          <w:u w:val="none"/>
        </w:rPr>
      </w:pPr>
    </w:p>
    <w:p w14:paraId="701571F7" w14:textId="77777777" w:rsidR="003E0EF5" w:rsidRDefault="003E0EF5">
      <w:pPr>
        <w:pStyle w:val="BodyText"/>
        <w:spacing w:before="7"/>
        <w:rPr>
          <w:sz w:val="11"/>
          <w:u w:val="none"/>
        </w:rPr>
      </w:pPr>
    </w:p>
    <w:p w14:paraId="596CED32" w14:textId="3B3FE62B" w:rsidR="00E92A3F" w:rsidRPr="00E67FAD" w:rsidRDefault="003E0EF5" w:rsidP="00E67FAD">
      <w:pPr>
        <w:pStyle w:val="BodyText"/>
        <w:spacing w:before="96" w:line="249" w:lineRule="auto"/>
        <w:ind w:left="121" w:right="209" w:firstLine="1"/>
        <w:rPr>
          <w:sz w:val="24"/>
          <w:szCs w:val="24"/>
          <w:u w:val="none"/>
        </w:rPr>
      </w:pPr>
      <w:r w:rsidRPr="000F6995">
        <w:rPr>
          <w:color w:val="2F2F2F"/>
          <w:sz w:val="24"/>
          <w:szCs w:val="24"/>
          <w:u w:val="none"/>
        </w:rPr>
        <w:t>Alternat</w:t>
      </w:r>
      <w:r w:rsidR="00825829">
        <w:rPr>
          <w:color w:val="2F2F2F"/>
          <w:sz w:val="24"/>
          <w:szCs w:val="24"/>
          <w:u w:val="none"/>
        </w:rPr>
        <w:t>iv</w:t>
      </w:r>
      <w:r w:rsidRPr="000F6995">
        <w:rPr>
          <w:color w:val="2F2F2F"/>
          <w:sz w:val="24"/>
          <w:szCs w:val="24"/>
          <w:u w:val="none"/>
        </w:rPr>
        <w:t xml:space="preserve">e </w:t>
      </w:r>
      <w:r w:rsidRPr="000F6995">
        <w:rPr>
          <w:color w:val="3F3F3F"/>
          <w:sz w:val="24"/>
          <w:szCs w:val="24"/>
          <w:u w:val="none"/>
        </w:rPr>
        <w:t>Treatment Tec</w:t>
      </w:r>
      <w:r w:rsidRPr="000F6995">
        <w:rPr>
          <w:color w:val="181818"/>
          <w:sz w:val="24"/>
          <w:szCs w:val="24"/>
          <w:u w:val="none"/>
        </w:rPr>
        <w:t>hnologi</w:t>
      </w:r>
      <w:r w:rsidR="00E67FAD" w:rsidRPr="000F6995">
        <w:rPr>
          <w:color w:val="181818"/>
          <w:sz w:val="24"/>
          <w:szCs w:val="24"/>
          <w:u w:val="none"/>
        </w:rPr>
        <w:t>es (ATT)</w:t>
      </w:r>
      <w:r w:rsidR="00E67FAD" w:rsidRPr="00E67FAD">
        <w:rPr>
          <w:color w:val="181818"/>
          <w:sz w:val="24"/>
          <w:szCs w:val="24"/>
          <w:u w:val="none"/>
        </w:rPr>
        <w:t xml:space="preserve"> </w:t>
      </w:r>
      <w:r w:rsidRPr="00E67FAD">
        <w:rPr>
          <w:color w:val="181818"/>
          <w:spacing w:val="-3"/>
          <w:sz w:val="24"/>
          <w:szCs w:val="24"/>
          <w:u w:val="none"/>
        </w:rPr>
        <w:t xml:space="preserve">are </w:t>
      </w:r>
      <w:r w:rsidRPr="00E67FAD">
        <w:rPr>
          <w:color w:val="181818"/>
          <w:sz w:val="24"/>
          <w:szCs w:val="24"/>
          <w:u w:val="none"/>
        </w:rPr>
        <w:t xml:space="preserve">treatment systems that do not conform to DEQ standard system guidelines. Commonly, </w:t>
      </w:r>
      <w:proofErr w:type="gramStart"/>
      <w:r w:rsidRPr="00E67FAD">
        <w:rPr>
          <w:color w:val="181818"/>
          <w:sz w:val="24"/>
          <w:szCs w:val="24"/>
          <w:u w:val="none"/>
        </w:rPr>
        <w:t>ATT's</w:t>
      </w:r>
      <w:proofErr w:type="gramEnd"/>
      <w:r w:rsidRPr="00E67FAD">
        <w:rPr>
          <w:color w:val="181818"/>
          <w:sz w:val="24"/>
          <w:szCs w:val="24"/>
          <w:u w:val="none"/>
        </w:rPr>
        <w:t xml:space="preserve"> incorporate an aerobic treatment process and discharge to a smaller than average absorption facility.  </w:t>
      </w:r>
      <w:proofErr w:type="gramStart"/>
      <w:r w:rsidRPr="00E67FAD">
        <w:rPr>
          <w:color w:val="181818"/>
          <w:sz w:val="24"/>
          <w:szCs w:val="24"/>
          <w:u w:val="none"/>
        </w:rPr>
        <w:t>ATT's</w:t>
      </w:r>
      <w:proofErr w:type="gramEnd"/>
      <w:r w:rsidRPr="00E67FAD">
        <w:rPr>
          <w:color w:val="181818"/>
          <w:sz w:val="24"/>
          <w:szCs w:val="24"/>
          <w:u w:val="none"/>
        </w:rPr>
        <w:t xml:space="preserve"> are required when a standard septic system </w:t>
      </w:r>
      <w:r w:rsidR="005E08E3">
        <w:rPr>
          <w:color w:val="181818"/>
          <w:sz w:val="24"/>
          <w:szCs w:val="24"/>
          <w:u w:val="none"/>
        </w:rPr>
        <w:t>cannot</w:t>
      </w:r>
      <w:r w:rsidRPr="00E67FAD">
        <w:rPr>
          <w:color w:val="181818"/>
          <w:sz w:val="24"/>
          <w:szCs w:val="24"/>
          <w:u w:val="none"/>
        </w:rPr>
        <w:t xml:space="preserve"> sufficiently mitigate environmental and/or health hazards for a specific site or use. </w:t>
      </w:r>
    </w:p>
    <w:p w14:paraId="42D46B3C" w14:textId="77777777" w:rsidR="00E92A3F" w:rsidRDefault="00E92A3F">
      <w:pPr>
        <w:pStyle w:val="BodyText"/>
        <w:rPr>
          <w:sz w:val="18"/>
          <w:u w:val="none"/>
        </w:rPr>
      </w:pPr>
    </w:p>
    <w:p w14:paraId="6A22AEFE" w14:textId="77777777" w:rsidR="00E92A3F" w:rsidRDefault="00E92A3F">
      <w:pPr>
        <w:pStyle w:val="BodyText"/>
        <w:rPr>
          <w:sz w:val="18"/>
          <w:u w:val="none"/>
        </w:rPr>
      </w:pPr>
    </w:p>
    <w:p w14:paraId="4FA02A14" w14:textId="77777777" w:rsidR="00E92A3F" w:rsidRPr="00E67FAD" w:rsidRDefault="00E92A3F">
      <w:pPr>
        <w:pStyle w:val="BodyText"/>
        <w:spacing w:before="9"/>
        <w:rPr>
          <w:sz w:val="24"/>
          <w:szCs w:val="24"/>
          <w:u w:val="none"/>
        </w:rPr>
      </w:pPr>
    </w:p>
    <w:p w14:paraId="4E7B1902" w14:textId="77777777" w:rsidR="00E92A3F" w:rsidRPr="000F6995" w:rsidRDefault="003E0EF5">
      <w:pPr>
        <w:pStyle w:val="Heading2"/>
        <w:rPr>
          <w:color w:val="FFFFFF" w:themeColor="background1"/>
          <w:sz w:val="32"/>
          <w:szCs w:val="32"/>
        </w:rPr>
      </w:pPr>
      <w:r w:rsidRPr="000F6995">
        <w:rPr>
          <w:color w:val="FFFFFF" w:themeColor="background1"/>
          <w:sz w:val="32"/>
          <w:szCs w:val="32"/>
          <w:highlight w:val="black"/>
        </w:rPr>
        <w:t>Operation and Maintenance</w:t>
      </w:r>
    </w:p>
    <w:p w14:paraId="637B301A" w14:textId="01C2094B" w:rsidR="00E92A3F" w:rsidRDefault="00E92A3F">
      <w:pPr>
        <w:pStyle w:val="BodyText"/>
        <w:spacing w:before="10"/>
        <w:rPr>
          <w:b/>
          <w:sz w:val="10"/>
          <w:u w:val="none"/>
        </w:rPr>
      </w:pPr>
    </w:p>
    <w:p w14:paraId="0BEB3FC4" w14:textId="77777777" w:rsidR="003E0EF5" w:rsidRDefault="003E0EF5">
      <w:pPr>
        <w:pStyle w:val="BodyText"/>
        <w:spacing w:before="10"/>
        <w:rPr>
          <w:b/>
          <w:sz w:val="10"/>
          <w:u w:val="none"/>
        </w:rPr>
      </w:pPr>
    </w:p>
    <w:p w14:paraId="07F12F23" w14:textId="27085BAB" w:rsidR="00E92A3F" w:rsidRPr="00E67FAD" w:rsidRDefault="003E0EF5">
      <w:pPr>
        <w:pStyle w:val="BodyText"/>
        <w:spacing w:before="95" w:line="247" w:lineRule="auto"/>
        <w:ind w:left="116" w:right="209" w:firstLine="2"/>
        <w:rPr>
          <w:sz w:val="24"/>
          <w:szCs w:val="24"/>
          <w:u w:val="none"/>
        </w:rPr>
      </w:pPr>
      <w:r w:rsidRPr="00E67FAD">
        <w:rPr>
          <w:color w:val="181818"/>
          <w:w w:val="105"/>
          <w:sz w:val="24"/>
          <w:szCs w:val="24"/>
          <w:u w:val="none"/>
        </w:rPr>
        <w:t xml:space="preserve">The DEQ requires that a </w:t>
      </w:r>
      <w:r w:rsidRPr="000F6995">
        <w:rPr>
          <w:color w:val="3F3F3F"/>
          <w:w w:val="105"/>
          <w:sz w:val="24"/>
          <w:szCs w:val="24"/>
          <w:u w:val="none"/>
        </w:rPr>
        <w:t xml:space="preserve">certified </w:t>
      </w:r>
      <w:r w:rsidRPr="000F6995">
        <w:rPr>
          <w:color w:val="2F2F2F"/>
          <w:w w:val="105"/>
          <w:sz w:val="24"/>
          <w:szCs w:val="24"/>
          <w:u w:val="none"/>
        </w:rPr>
        <w:t xml:space="preserve">maintenance </w:t>
      </w:r>
      <w:r w:rsidRPr="000F6995">
        <w:rPr>
          <w:color w:val="181818"/>
          <w:w w:val="105"/>
          <w:sz w:val="24"/>
          <w:szCs w:val="24"/>
          <w:u w:val="none"/>
        </w:rPr>
        <w:t>provider</w:t>
      </w:r>
      <w:r w:rsidRPr="00E67FAD">
        <w:rPr>
          <w:color w:val="181818"/>
          <w:w w:val="105"/>
          <w:sz w:val="24"/>
          <w:szCs w:val="24"/>
          <w:u w:val="none"/>
        </w:rPr>
        <w:t xml:space="preserve"> maintain each installed ATT system. The owner of this type of system must submit an initial operation and maintenance contract when applying for an ATT Installation permit</w:t>
      </w:r>
      <w:r w:rsidR="005E08E3">
        <w:rPr>
          <w:color w:val="181818"/>
          <w:w w:val="105"/>
          <w:sz w:val="24"/>
          <w:szCs w:val="24"/>
          <w:u w:val="none"/>
        </w:rPr>
        <w:t>. In addition, the property owner must</w:t>
      </w:r>
      <w:r w:rsidRPr="00E67FAD">
        <w:rPr>
          <w:color w:val="181818"/>
          <w:w w:val="105"/>
          <w:sz w:val="24"/>
          <w:szCs w:val="24"/>
          <w:u w:val="none"/>
        </w:rPr>
        <w:t xml:space="preserve"> </w:t>
      </w:r>
      <w:proofErr w:type="gramStart"/>
      <w:r w:rsidRPr="00E67FAD">
        <w:rPr>
          <w:color w:val="181818"/>
          <w:w w:val="105"/>
          <w:sz w:val="24"/>
          <w:szCs w:val="24"/>
          <w:u w:val="none"/>
        </w:rPr>
        <w:t>maintain a current contract at all times</w:t>
      </w:r>
      <w:proofErr w:type="gramEnd"/>
      <w:r w:rsidRPr="00E67FAD">
        <w:rPr>
          <w:color w:val="181818"/>
          <w:w w:val="105"/>
          <w:sz w:val="24"/>
          <w:szCs w:val="24"/>
          <w:u w:val="none"/>
        </w:rPr>
        <w:t xml:space="preserve"> throughout the life of the system</w:t>
      </w:r>
      <w:r w:rsidRPr="00E67FAD">
        <w:rPr>
          <w:color w:val="3F3F3F"/>
          <w:w w:val="105"/>
          <w:sz w:val="24"/>
          <w:szCs w:val="24"/>
          <w:u w:val="none"/>
        </w:rPr>
        <w:t>.</w:t>
      </w:r>
    </w:p>
    <w:p w14:paraId="4AAA1573" w14:textId="77777777" w:rsidR="00E92A3F" w:rsidRPr="00E67FAD" w:rsidRDefault="00E92A3F">
      <w:pPr>
        <w:pStyle w:val="BodyText"/>
        <w:spacing w:before="10"/>
        <w:rPr>
          <w:sz w:val="24"/>
          <w:szCs w:val="24"/>
          <w:u w:val="none"/>
        </w:rPr>
      </w:pPr>
    </w:p>
    <w:p w14:paraId="7A05BE68" w14:textId="246CA370" w:rsidR="00E92A3F" w:rsidRDefault="003E0EF5">
      <w:pPr>
        <w:pStyle w:val="BodyText"/>
        <w:spacing w:line="249" w:lineRule="auto"/>
        <w:ind w:left="116" w:right="209" w:firstLine="5"/>
        <w:rPr>
          <w:color w:val="181818"/>
          <w:w w:val="105"/>
          <w:sz w:val="24"/>
          <w:szCs w:val="24"/>
          <w:u w:val="none"/>
        </w:rPr>
      </w:pPr>
      <w:r w:rsidRPr="00E67FAD">
        <w:rPr>
          <w:color w:val="181818"/>
          <w:w w:val="105"/>
          <w:sz w:val="24"/>
          <w:szCs w:val="24"/>
          <w:u w:val="none"/>
        </w:rPr>
        <w:t>Your maintenance provider wil</w:t>
      </w:r>
      <w:r w:rsidR="00E03C68">
        <w:rPr>
          <w:color w:val="181818"/>
          <w:w w:val="105"/>
          <w:sz w:val="24"/>
          <w:szCs w:val="24"/>
          <w:u w:val="none"/>
        </w:rPr>
        <w:t xml:space="preserve">l upload and maintain the information through </w:t>
      </w:r>
      <w:proofErr w:type="spellStart"/>
      <w:r w:rsidR="00E03C68">
        <w:rPr>
          <w:color w:val="181818"/>
          <w:w w:val="105"/>
          <w:sz w:val="24"/>
          <w:szCs w:val="24"/>
          <w:u w:val="none"/>
        </w:rPr>
        <w:t>OnlineRME</w:t>
      </w:r>
      <w:proofErr w:type="spellEnd"/>
      <w:r w:rsidR="00E03C68">
        <w:rPr>
          <w:color w:val="181818"/>
          <w:w w:val="105"/>
          <w:sz w:val="24"/>
          <w:szCs w:val="24"/>
          <w:u w:val="none"/>
        </w:rPr>
        <w:t xml:space="preserve">, </w:t>
      </w:r>
      <w:r w:rsidR="00E03C68" w:rsidRPr="00BB7285">
        <w:rPr>
          <w:w w:val="105"/>
          <w:sz w:val="24"/>
          <w:szCs w:val="24"/>
          <w:u w:val="none"/>
        </w:rPr>
        <w:t>including your maintenance contract</w:t>
      </w:r>
      <w:r w:rsidR="00E03C68">
        <w:rPr>
          <w:color w:val="181818"/>
          <w:w w:val="105"/>
          <w:sz w:val="24"/>
          <w:szCs w:val="24"/>
          <w:u w:val="none"/>
        </w:rPr>
        <w:t xml:space="preserve">, the </w:t>
      </w:r>
      <w:r w:rsidRPr="00E67FAD">
        <w:rPr>
          <w:color w:val="181818"/>
          <w:w w:val="105"/>
          <w:sz w:val="24"/>
          <w:szCs w:val="24"/>
          <w:u w:val="none"/>
        </w:rPr>
        <w:t xml:space="preserve">annual inspection report, and the required annual report evaluation fee on your behalf. However. </w:t>
      </w:r>
      <w:r w:rsidR="005E08E3">
        <w:rPr>
          <w:color w:val="181818"/>
          <w:w w:val="105"/>
          <w:sz w:val="24"/>
          <w:szCs w:val="24"/>
          <w:u w:val="none"/>
        </w:rPr>
        <w:t>T</w:t>
      </w:r>
      <w:r w:rsidRPr="00E67FAD">
        <w:rPr>
          <w:color w:val="181818"/>
          <w:w w:val="105"/>
          <w:sz w:val="24"/>
          <w:szCs w:val="24"/>
          <w:u w:val="none"/>
        </w:rPr>
        <w:t xml:space="preserve">he property owner </w:t>
      </w:r>
      <w:r w:rsidR="005E08E3">
        <w:rPr>
          <w:color w:val="181818"/>
          <w:w w:val="105"/>
          <w:sz w:val="24"/>
          <w:szCs w:val="24"/>
          <w:u w:val="none"/>
        </w:rPr>
        <w:t>must ensure</w:t>
      </w:r>
      <w:r w:rsidRPr="00E67FAD">
        <w:rPr>
          <w:color w:val="181818"/>
          <w:w w:val="105"/>
          <w:sz w:val="24"/>
          <w:szCs w:val="24"/>
          <w:u w:val="none"/>
        </w:rPr>
        <w:t xml:space="preserve"> the onsite wastewater system is properly maintained and the operation and maintenance requirements are</w:t>
      </w:r>
      <w:r w:rsidRPr="00E67FAD">
        <w:rPr>
          <w:color w:val="181818"/>
          <w:spacing w:val="18"/>
          <w:w w:val="105"/>
          <w:sz w:val="24"/>
          <w:szCs w:val="24"/>
          <w:u w:val="none"/>
        </w:rPr>
        <w:t xml:space="preserve"> </w:t>
      </w:r>
      <w:r w:rsidRPr="00E67FAD">
        <w:rPr>
          <w:color w:val="181818"/>
          <w:w w:val="105"/>
          <w:sz w:val="24"/>
          <w:szCs w:val="24"/>
          <w:u w:val="none"/>
        </w:rPr>
        <w:t>met.</w:t>
      </w:r>
    </w:p>
    <w:p w14:paraId="76C6CEA9" w14:textId="43F32B78" w:rsidR="00E03C68" w:rsidRDefault="00E03C68">
      <w:pPr>
        <w:pStyle w:val="BodyText"/>
        <w:spacing w:line="249" w:lineRule="auto"/>
        <w:ind w:left="116" w:right="209" w:firstLine="5"/>
        <w:rPr>
          <w:color w:val="181818"/>
          <w:w w:val="105"/>
          <w:sz w:val="24"/>
          <w:szCs w:val="24"/>
          <w:u w:val="none"/>
        </w:rPr>
      </w:pPr>
    </w:p>
    <w:p w14:paraId="62D78105" w14:textId="6010E524" w:rsidR="00E03C68" w:rsidRPr="00E67FAD" w:rsidRDefault="00E03C68">
      <w:pPr>
        <w:pStyle w:val="BodyText"/>
        <w:spacing w:line="249" w:lineRule="auto"/>
        <w:ind w:left="116" w:right="209" w:firstLine="5"/>
        <w:rPr>
          <w:sz w:val="24"/>
          <w:szCs w:val="24"/>
          <w:u w:val="none"/>
        </w:rPr>
      </w:pPr>
      <w:r>
        <w:rPr>
          <w:color w:val="181818"/>
          <w:w w:val="105"/>
          <w:sz w:val="24"/>
          <w:szCs w:val="24"/>
          <w:u w:val="none"/>
        </w:rPr>
        <w:t>For questions, contact your service provider and/or Lincoln County Onsite.</w:t>
      </w:r>
    </w:p>
    <w:p w14:paraId="49668F9F" w14:textId="77777777" w:rsidR="00E92A3F" w:rsidRDefault="00E92A3F">
      <w:pPr>
        <w:pStyle w:val="BodyText"/>
        <w:rPr>
          <w:sz w:val="18"/>
          <w:u w:val="none"/>
        </w:rPr>
      </w:pPr>
    </w:p>
    <w:p w14:paraId="7EA099B4" w14:textId="77777777" w:rsidR="00E92A3F" w:rsidRDefault="00E92A3F">
      <w:pPr>
        <w:pStyle w:val="BodyText"/>
        <w:rPr>
          <w:sz w:val="18"/>
          <w:u w:val="none"/>
        </w:rPr>
      </w:pPr>
    </w:p>
    <w:p w14:paraId="72359183" w14:textId="77777777" w:rsidR="00E92A3F" w:rsidRDefault="00E92A3F">
      <w:pPr>
        <w:pStyle w:val="BodyText"/>
        <w:spacing w:before="2"/>
        <w:rPr>
          <w:u w:val="none"/>
        </w:rPr>
      </w:pPr>
    </w:p>
    <w:p w14:paraId="6D17B020" w14:textId="77777777" w:rsidR="00E92A3F" w:rsidRDefault="00E92A3F">
      <w:pPr>
        <w:pStyle w:val="BodyText"/>
        <w:spacing w:before="11"/>
        <w:rPr>
          <w:sz w:val="14"/>
          <w:u w:val="none"/>
        </w:rPr>
      </w:pPr>
    </w:p>
    <w:p w14:paraId="091AC818" w14:textId="77777777" w:rsidR="00E92A3F" w:rsidRDefault="00E92A3F">
      <w:pPr>
        <w:pStyle w:val="BodyText"/>
        <w:rPr>
          <w:sz w:val="18"/>
          <w:u w:val="none"/>
        </w:rPr>
      </w:pPr>
    </w:p>
    <w:p w14:paraId="10E88F2E" w14:textId="48D3EE99" w:rsidR="003E0EF5" w:rsidRDefault="003E0EF5" w:rsidP="003302F8">
      <w:pPr>
        <w:pStyle w:val="BodyText"/>
        <w:spacing w:before="3"/>
        <w:ind w:right="4688"/>
        <w:rPr>
          <w:u w:val="none"/>
        </w:rPr>
      </w:pPr>
    </w:p>
    <w:p w14:paraId="3A190ADC" w14:textId="2C103230" w:rsidR="00E92A3F" w:rsidRDefault="003E0EF5" w:rsidP="003E0EF5">
      <w:pPr>
        <w:pStyle w:val="BodyText"/>
        <w:spacing w:before="3"/>
        <w:ind w:left="4801" w:right="4688"/>
        <w:jc w:val="both"/>
        <w:rPr>
          <w:u w:val="none"/>
        </w:rPr>
      </w:pPr>
      <w:r>
        <w:rPr>
          <w:u w:val="none"/>
        </w:rPr>
        <w:br w:type="textWrapping" w:clear="all"/>
      </w:r>
    </w:p>
    <w:p w14:paraId="584E67E7" w14:textId="52F4DDBC" w:rsidR="003E0EF5" w:rsidRPr="003E0EF5" w:rsidRDefault="003E0EF5" w:rsidP="003E0EF5"/>
    <w:p w14:paraId="16EB66D1" w14:textId="5FD41A85" w:rsidR="003E0EF5" w:rsidRPr="003E0EF5" w:rsidRDefault="003E0EF5" w:rsidP="003E0EF5"/>
    <w:p w14:paraId="07E663A0" w14:textId="2C88ABCC" w:rsidR="003E0EF5" w:rsidRDefault="003E0EF5" w:rsidP="003E0EF5">
      <w:pPr>
        <w:rPr>
          <w:sz w:val="16"/>
          <w:szCs w:val="16"/>
          <w:u w:color="000000"/>
        </w:rPr>
      </w:pPr>
    </w:p>
    <w:p w14:paraId="12336D34" w14:textId="59F1314A" w:rsidR="003E0EF5" w:rsidRDefault="003E0EF5" w:rsidP="003E0EF5">
      <w:pPr>
        <w:rPr>
          <w:sz w:val="16"/>
          <w:szCs w:val="16"/>
          <w:u w:color="000000"/>
        </w:rPr>
      </w:pPr>
    </w:p>
    <w:p w14:paraId="14FCD614" w14:textId="046229F7" w:rsidR="003E0EF5" w:rsidRDefault="003E0EF5" w:rsidP="003E0EF5">
      <w:pPr>
        <w:tabs>
          <w:tab w:val="left" w:pos="3750"/>
        </w:tabs>
      </w:pPr>
      <w:r w:rsidRPr="003E0EF5">
        <w:rPr>
          <w:noProof/>
        </w:rPr>
        <w:drawing>
          <wp:anchor distT="0" distB="0" distL="114300" distR="114300" simplePos="0" relativeHeight="251658240" behindDoc="0" locked="0" layoutInCell="1" allowOverlap="1" wp14:anchorId="2B2D1FD6" wp14:editId="243A749E">
            <wp:simplePos x="0" y="0"/>
            <wp:positionH relativeFrom="column">
              <wp:posOffset>2946400</wp:posOffset>
            </wp:positionH>
            <wp:positionV relativeFrom="paragraph">
              <wp:posOffset>12065</wp:posOffset>
            </wp:positionV>
            <wp:extent cx="1438275" cy="10858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  <w:t xml:space="preserve">                  Department of Planning &amp;</w:t>
      </w:r>
    </w:p>
    <w:p w14:paraId="4A3690F9" w14:textId="77777777" w:rsidR="003E0EF5" w:rsidRDefault="003E0EF5" w:rsidP="003E0EF5">
      <w:pPr>
        <w:tabs>
          <w:tab w:val="left" w:pos="3750"/>
        </w:tabs>
      </w:pPr>
      <w:r>
        <w:t xml:space="preserve">                                                                     Development </w:t>
      </w:r>
    </w:p>
    <w:p w14:paraId="1DD65E01" w14:textId="77777777" w:rsidR="003E0EF5" w:rsidRDefault="003E0EF5" w:rsidP="003E0EF5">
      <w:pPr>
        <w:tabs>
          <w:tab w:val="left" w:pos="3750"/>
        </w:tabs>
      </w:pPr>
      <w:r>
        <w:t xml:space="preserve">                                                                                   210 S. W. 2</w:t>
      </w:r>
      <w:r w:rsidRPr="003E0EF5">
        <w:rPr>
          <w:vertAlign w:val="superscript"/>
        </w:rPr>
        <w:t>nd</w:t>
      </w:r>
      <w:r>
        <w:t xml:space="preserve"> Street  </w:t>
      </w:r>
    </w:p>
    <w:p w14:paraId="112CD52F" w14:textId="77777777" w:rsidR="003E0EF5" w:rsidRDefault="003E0EF5" w:rsidP="003E0EF5">
      <w:pPr>
        <w:tabs>
          <w:tab w:val="left" w:pos="3750"/>
        </w:tabs>
      </w:pPr>
      <w:r>
        <w:t xml:space="preserve">                                                                            Newport, OR 97365</w:t>
      </w:r>
    </w:p>
    <w:p w14:paraId="45A699C9" w14:textId="77777777" w:rsidR="003E0EF5" w:rsidRDefault="003E0EF5" w:rsidP="003E0EF5">
      <w:pPr>
        <w:tabs>
          <w:tab w:val="left" w:pos="3750"/>
        </w:tabs>
      </w:pPr>
      <w:r>
        <w:t xml:space="preserve">                                                                                 (541) 265-4192 </w:t>
      </w:r>
    </w:p>
    <w:p w14:paraId="26D437FB" w14:textId="77777777" w:rsidR="003E0EF5" w:rsidRDefault="003E0EF5" w:rsidP="003E0EF5">
      <w:pPr>
        <w:tabs>
          <w:tab w:val="left" w:pos="3750"/>
        </w:tabs>
        <w:ind w:left="2160"/>
      </w:pPr>
      <w:r>
        <w:t xml:space="preserve">                                                                                  Fax (541) 265-6945 </w:t>
      </w:r>
    </w:p>
    <w:p w14:paraId="3BD33F43" w14:textId="7D137B5C" w:rsidR="003E0EF5" w:rsidRPr="003E0EF5" w:rsidRDefault="003E0EF5" w:rsidP="003E0EF5">
      <w:pPr>
        <w:tabs>
          <w:tab w:val="left" w:pos="3750"/>
        </w:tabs>
        <w:ind w:left="2160"/>
      </w:pPr>
      <w:r>
        <w:t xml:space="preserve">                                                          </w:t>
      </w:r>
      <w:r w:rsidR="001D3147">
        <w:t>LConsite</w:t>
      </w:r>
      <w:r>
        <w:t>@co.lincoln.or.us</w:t>
      </w:r>
    </w:p>
    <w:sectPr w:rsidR="003E0EF5" w:rsidRPr="003E0EF5">
      <w:type w:val="continuous"/>
      <w:pgSz w:w="12240" w:h="15840"/>
      <w:pgMar w:top="1000" w:right="6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3F"/>
    <w:rsid w:val="000F6995"/>
    <w:rsid w:val="001D3147"/>
    <w:rsid w:val="003302F8"/>
    <w:rsid w:val="003E0EF5"/>
    <w:rsid w:val="005E08E3"/>
    <w:rsid w:val="00825829"/>
    <w:rsid w:val="00A05B3F"/>
    <w:rsid w:val="00BB7285"/>
    <w:rsid w:val="00E03C68"/>
    <w:rsid w:val="00E67FAD"/>
    <w:rsid w:val="00E9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3D02B"/>
  <w15:docId w15:val="{8BE4DF23-075D-4CEF-93AF-A701D7B3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1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1599</Characters>
  <Application>Microsoft Office Word</Application>
  <DocSecurity>0</DocSecurity>
  <Lines>13</Lines>
  <Paragraphs>3</Paragraphs>
  <ScaleCrop>false</ScaleCrop>
  <Company>County of Lincoln, OR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L. Crawford</dc:creator>
  <cp:lastModifiedBy>Brian L. Crawford</cp:lastModifiedBy>
  <cp:revision>2</cp:revision>
  <cp:lastPrinted>2022-01-06T23:42:00Z</cp:lastPrinted>
  <dcterms:created xsi:type="dcterms:W3CDTF">2025-04-11T19:47:00Z</dcterms:created>
  <dcterms:modified xsi:type="dcterms:W3CDTF">2025-04-11T19:47:00Z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2022-01-05T00:00:00Z</vt:filetime>
  </property>
  <property fmtid="{D5CDD505-2E9C-101B-9397-08002B2CF9AE}" pid="3" name="Creator">
    <vt:lpwstr>Canon iR-ADV C5540  PDF</vt:lpwstr>
  </property>
  <property fmtid="{D5CDD505-2E9C-101B-9397-08002B2CF9AE}" pid="4" name="LastSaved">
    <vt:filetime>2022-01-05T00:00:00Z</vt:filetime>
  </property>
</Properties>
</file>