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C318" w14:textId="07831110" w:rsidR="00DE14AB" w:rsidRDefault="002256BF">
      <w:pPr>
        <w:pStyle w:val="BodyText"/>
        <w:ind w:left="414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B6083F" wp14:editId="694E9A51">
                <wp:simplePos x="0" y="0"/>
                <wp:positionH relativeFrom="page">
                  <wp:posOffset>1270</wp:posOffset>
                </wp:positionH>
                <wp:positionV relativeFrom="page">
                  <wp:posOffset>3295650</wp:posOffset>
                </wp:positionV>
                <wp:extent cx="0" cy="0"/>
                <wp:effectExtent l="10795" t="1352550" r="8255" b="13519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4FE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259.5pt" to=".1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" strokeweight=".08481mm">
                <w10:wrap anchorx="page" anchory="page"/>
              </v:line>
            </w:pict>
          </mc:Fallback>
        </mc:AlternateContent>
      </w:r>
    </w:p>
    <w:p w14:paraId="331C4FB4" w14:textId="77777777" w:rsidR="00DE14AB" w:rsidRDefault="00DE14AB">
      <w:pPr>
        <w:pStyle w:val="BodyText"/>
        <w:spacing w:before="4"/>
        <w:rPr>
          <w:rFonts w:ascii="Times New Roman"/>
          <w:sz w:val="14"/>
        </w:rPr>
      </w:pPr>
    </w:p>
    <w:p w14:paraId="5897CC2F" w14:textId="77777777" w:rsidR="00DE14AB" w:rsidRDefault="00DE14AB">
      <w:pPr>
        <w:pStyle w:val="BodyText"/>
        <w:rPr>
          <w:sz w:val="20"/>
        </w:rPr>
      </w:pPr>
    </w:p>
    <w:p w14:paraId="52811405" w14:textId="77777777" w:rsidR="00DE14AB" w:rsidRDefault="00DE14AB">
      <w:pPr>
        <w:pStyle w:val="BodyText"/>
        <w:spacing w:before="5"/>
        <w:rPr>
          <w:sz w:val="21"/>
        </w:rPr>
      </w:pPr>
    </w:p>
    <w:p w14:paraId="3CE9E1B4" w14:textId="0C4B25B0" w:rsidR="00DE14AB" w:rsidRPr="00A75C02" w:rsidRDefault="002256BF" w:rsidP="002256BF">
      <w:pPr>
        <w:ind w:left="128"/>
        <w:jc w:val="center"/>
        <w:rPr>
          <w:b/>
          <w:color w:val="161616"/>
          <w:w w:val="105"/>
          <w:sz w:val="40"/>
          <w:szCs w:val="40"/>
        </w:rPr>
      </w:pPr>
      <w:r w:rsidRPr="00A75C02">
        <w:rPr>
          <w:b/>
          <w:color w:val="161616"/>
          <w:w w:val="105"/>
          <w:sz w:val="40"/>
          <w:szCs w:val="40"/>
        </w:rPr>
        <w:t>New Construction &amp; Installation</w:t>
      </w:r>
    </w:p>
    <w:p w14:paraId="39F19619" w14:textId="77777777" w:rsidR="002256BF" w:rsidRPr="002256BF" w:rsidRDefault="002256BF" w:rsidP="002256BF">
      <w:pPr>
        <w:ind w:left="128"/>
        <w:jc w:val="center"/>
        <w:rPr>
          <w:b/>
          <w:sz w:val="36"/>
          <w:szCs w:val="36"/>
        </w:rPr>
      </w:pPr>
    </w:p>
    <w:p w14:paraId="738480B7" w14:textId="77777777" w:rsidR="00DE14AB" w:rsidRPr="00A75C02" w:rsidRDefault="002256BF">
      <w:pPr>
        <w:pStyle w:val="Heading1"/>
        <w:spacing w:before="286"/>
        <w:ind w:left="131"/>
        <w:rPr>
          <w:color w:val="FFFFFF" w:themeColor="background1"/>
          <w:sz w:val="32"/>
          <w:szCs w:val="32"/>
        </w:rPr>
      </w:pPr>
      <w:r w:rsidRPr="00A75C02">
        <w:rPr>
          <w:color w:val="FFFFFF" w:themeColor="background1"/>
          <w:sz w:val="32"/>
          <w:szCs w:val="32"/>
          <w:highlight w:val="black"/>
        </w:rPr>
        <w:t>Site Evaluation</w:t>
      </w:r>
    </w:p>
    <w:p w14:paraId="3D4AF3E0" w14:textId="77777777" w:rsidR="00DE14AB" w:rsidRDefault="00DE14AB">
      <w:pPr>
        <w:pStyle w:val="BodyText"/>
        <w:spacing w:before="7"/>
        <w:rPr>
          <w:b/>
          <w:sz w:val="15"/>
        </w:rPr>
      </w:pPr>
    </w:p>
    <w:p w14:paraId="22612AA7" w14:textId="0798B200" w:rsidR="00DE14AB" w:rsidRDefault="002256BF" w:rsidP="002256BF">
      <w:pPr>
        <w:pStyle w:val="BodyText"/>
        <w:spacing w:before="94" w:line="247" w:lineRule="auto"/>
        <w:ind w:left="126" w:right="391" w:firstLine="5"/>
      </w:pPr>
      <w:r>
        <w:rPr>
          <w:color w:val="161616"/>
          <w:w w:val="105"/>
        </w:rPr>
        <w:t xml:space="preserve">A complete and approved </w:t>
      </w:r>
      <w:r w:rsidRPr="002256BF">
        <w:rPr>
          <w:color w:val="161616"/>
          <w:w w:val="105"/>
        </w:rPr>
        <w:t>s</w:t>
      </w:r>
      <w:r w:rsidRPr="002256BF">
        <w:rPr>
          <w:color w:val="313131"/>
          <w:w w:val="105"/>
        </w:rPr>
        <w:t>it</w:t>
      </w:r>
      <w:r w:rsidRPr="002256BF">
        <w:rPr>
          <w:color w:val="161616"/>
          <w:w w:val="105"/>
        </w:rPr>
        <w:t xml:space="preserve">e </w:t>
      </w:r>
      <w:r w:rsidRPr="002256BF">
        <w:rPr>
          <w:color w:val="313131"/>
          <w:w w:val="105"/>
        </w:rPr>
        <w:t>e</w:t>
      </w:r>
      <w:r w:rsidRPr="002256BF">
        <w:rPr>
          <w:color w:val="161616"/>
          <w:w w:val="105"/>
        </w:rPr>
        <w:t>v</w:t>
      </w:r>
      <w:r w:rsidRPr="002256BF">
        <w:rPr>
          <w:color w:val="313131"/>
          <w:w w:val="105"/>
        </w:rPr>
        <w:t>a</w:t>
      </w:r>
      <w:r w:rsidRPr="002256BF">
        <w:rPr>
          <w:color w:val="161616"/>
          <w:w w:val="105"/>
        </w:rPr>
        <w:t>l</w:t>
      </w:r>
      <w:r w:rsidRPr="002256BF">
        <w:rPr>
          <w:color w:val="313131"/>
          <w:w w:val="105"/>
        </w:rPr>
        <w:t>uati</w:t>
      </w:r>
      <w:r w:rsidRPr="002256BF">
        <w:rPr>
          <w:color w:val="161616"/>
          <w:w w:val="105"/>
        </w:rPr>
        <w:t>o</w:t>
      </w:r>
      <w:r w:rsidRPr="002256BF">
        <w:rPr>
          <w:color w:val="313131"/>
          <w:w w:val="105"/>
        </w:rPr>
        <w:t>n</w:t>
      </w:r>
      <w:r>
        <w:rPr>
          <w:color w:val="161616"/>
          <w:w w:val="90"/>
        </w:rPr>
        <w:t xml:space="preserve"> </w:t>
      </w:r>
      <w:r>
        <w:rPr>
          <w:color w:val="161616"/>
          <w:w w:val="105"/>
        </w:rPr>
        <w:t>is required for all new onsite wastewater treatment system installations</w:t>
      </w:r>
      <w:r>
        <w:rPr>
          <w:color w:val="313131"/>
          <w:w w:val="105"/>
        </w:rPr>
        <w:t xml:space="preserve">. </w:t>
      </w:r>
      <w:r>
        <w:rPr>
          <w:color w:val="161616"/>
          <w:w w:val="105"/>
        </w:rPr>
        <w:t xml:space="preserve">If a valid site evaluation is not already in </w:t>
      </w:r>
      <w:r w:rsidR="0012724D">
        <w:rPr>
          <w:color w:val="161616"/>
          <w:w w:val="105"/>
        </w:rPr>
        <w:t xml:space="preserve">the </w:t>
      </w:r>
      <w:r>
        <w:rPr>
          <w:color w:val="161616"/>
          <w:w w:val="105"/>
        </w:rPr>
        <w:t xml:space="preserve">County records, a new site evaluation must be </w:t>
      </w:r>
      <w:r w:rsidRPr="002256BF">
        <w:rPr>
          <w:color w:val="161616"/>
          <w:w w:val="90"/>
        </w:rPr>
        <w:t xml:space="preserve">applied for </w:t>
      </w:r>
      <w:r>
        <w:rPr>
          <w:color w:val="161616"/>
          <w:w w:val="105"/>
        </w:rPr>
        <w:t>through Lincoln County Department of Planning and Development. If an existing site evaluation for the property exists, County staff can help determine the validity of an existing site evaluation.</w:t>
      </w:r>
    </w:p>
    <w:p w14:paraId="04AE1087" w14:textId="3588C0FB" w:rsidR="00DE14AB" w:rsidRDefault="00DE14AB">
      <w:pPr>
        <w:pStyle w:val="BodyText"/>
        <w:spacing w:before="10"/>
        <w:rPr>
          <w:sz w:val="24"/>
        </w:rPr>
      </w:pPr>
    </w:p>
    <w:p w14:paraId="5A601EE5" w14:textId="77777777" w:rsidR="002256BF" w:rsidRDefault="002256BF">
      <w:pPr>
        <w:pStyle w:val="BodyText"/>
        <w:spacing w:before="10"/>
        <w:rPr>
          <w:sz w:val="24"/>
        </w:rPr>
      </w:pPr>
    </w:p>
    <w:p w14:paraId="24BCC5F0" w14:textId="77777777" w:rsidR="00DE14AB" w:rsidRPr="00A75C02" w:rsidRDefault="002256BF">
      <w:pPr>
        <w:pStyle w:val="Heading1"/>
        <w:ind w:left="131"/>
        <w:rPr>
          <w:color w:val="FFFFFF" w:themeColor="background1"/>
          <w:sz w:val="32"/>
          <w:szCs w:val="32"/>
        </w:rPr>
      </w:pPr>
      <w:r w:rsidRPr="00A75C02">
        <w:rPr>
          <w:color w:val="FFFFFF" w:themeColor="background1"/>
          <w:sz w:val="32"/>
          <w:szCs w:val="32"/>
          <w:highlight w:val="black"/>
        </w:rPr>
        <w:t>System Design</w:t>
      </w:r>
    </w:p>
    <w:p w14:paraId="7902592F" w14:textId="2EFA3460" w:rsidR="00DE14AB" w:rsidRDefault="002256BF">
      <w:pPr>
        <w:pStyle w:val="BodyText"/>
        <w:spacing w:before="269" w:line="249" w:lineRule="auto"/>
        <w:ind w:left="123" w:right="391" w:firstLine="2"/>
      </w:pPr>
      <w:r>
        <w:rPr>
          <w:color w:val="161616"/>
          <w:w w:val="105"/>
        </w:rPr>
        <w:t xml:space="preserve">Once a site evaluation report is complete, the next step is to apply for an installation permit based on the type of system approved for the property. Every system type contains a septic tank (primary treatment) and an absorption facility (secondary treatment). Sometimes a standard septic system does not sufficiently mitigate public health and environmental hazards, so an </w:t>
      </w:r>
      <w:r w:rsidRPr="002256BF">
        <w:rPr>
          <w:color w:val="161616"/>
          <w:w w:val="105"/>
        </w:rPr>
        <w:t xml:space="preserve">alternative treatment technology (ATT) </w:t>
      </w:r>
      <w:r>
        <w:rPr>
          <w:color w:val="161616"/>
          <w:w w:val="105"/>
        </w:rPr>
        <w:t>system is required</w:t>
      </w:r>
      <w:r>
        <w:rPr>
          <w:color w:val="313131"/>
          <w:w w:val="105"/>
        </w:rPr>
        <w:t>.</w:t>
      </w:r>
    </w:p>
    <w:p w14:paraId="6A244779" w14:textId="348E1C7F" w:rsidR="00DE14AB" w:rsidRDefault="00DE14AB">
      <w:pPr>
        <w:pStyle w:val="BodyText"/>
        <w:spacing w:before="3"/>
        <w:rPr>
          <w:sz w:val="22"/>
        </w:rPr>
      </w:pPr>
    </w:p>
    <w:p w14:paraId="4AE7FDCA" w14:textId="77777777" w:rsidR="002256BF" w:rsidRDefault="002256BF">
      <w:pPr>
        <w:pStyle w:val="BodyText"/>
        <w:spacing w:before="3"/>
        <w:rPr>
          <w:sz w:val="22"/>
        </w:rPr>
      </w:pPr>
    </w:p>
    <w:p w14:paraId="0CD6E046" w14:textId="77777777" w:rsidR="00DE14AB" w:rsidRPr="00A75C02" w:rsidRDefault="002256BF">
      <w:pPr>
        <w:pStyle w:val="Heading1"/>
        <w:rPr>
          <w:color w:val="FFFFFF" w:themeColor="background1"/>
          <w:sz w:val="32"/>
          <w:szCs w:val="32"/>
        </w:rPr>
      </w:pPr>
      <w:r w:rsidRPr="00A75C02">
        <w:rPr>
          <w:color w:val="FFFFFF" w:themeColor="background1"/>
          <w:sz w:val="32"/>
          <w:szCs w:val="32"/>
          <w:highlight w:val="black"/>
        </w:rPr>
        <w:t>Septic Tank</w:t>
      </w:r>
    </w:p>
    <w:p w14:paraId="2A66A5D0" w14:textId="6264E556" w:rsidR="00DE14AB" w:rsidRDefault="002256BF">
      <w:pPr>
        <w:pStyle w:val="BodyText"/>
        <w:spacing w:before="270" w:line="247" w:lineRule="auto"/>
        <w:ind w:left="123" w:right="391" w:hanging="2"/>
      </w:pPr>
      <w:r>
        <w:rPr>
          <w:color w:val="161616"/>
          <w:w w:val="105"/>
        </w:rPr>
        <w:t xml:space="preserve">The first stage in the wastewater treatment process is to collect and separate the liquids from the solids in a septic tank. A standard septic tank uses gravity to distribute liquids to a treatment unit or the absorption facility. A dosing septic tank is a two-compartment tank that serves the same </w:t>
      </w:r>
      <w:proofErr w:type="gramStart"/>
      <w:r>
        <w:rPr>
          <w:color w:val="161616"/>
          <w:w w:val="105"/>
        </w:rPr>
        <w:t>function, but</w:t>
      </w:r>
      <w:proofErr w:type="gramEnd"/>
      <w:r>
        <w:rPr>
          <w:color w:val="161616"/>
          <w:w w:val="105"/>
        </w:rPr>
        <w:t xml:space="preserve"> uses an internal pump with float sensors to pump wastewater liquid, called effluent, from the tank.</w:t>
      </w:r>
    </w:p>
    <w:p w14:paraId="3EF3E1DF" w14:textId="41001D6D" w:rsidR="00DE14AB" w:rsidRDefault="00DE14AB">
      <w:pPr>
        <w:pStyle w:val="BodyText"/>
        <w:spacing w:before="3"/>
        <w:rPr>
          <w:sz w:val="24"/>
        </w:rPr>
      </w:pPr>
    </w:p>
    <w:p w14:paraId="3C75BFC8" w14:textId="77777777" w:rsidR="002256BF" w:rsidRDefault="002256BF">
      <w:pPr>
        <w:pStyle w:val="BodyText"/>
        <w:spacing w:before="3"/>
        <w:rPr>
          <w:sz w:val="24"/>
        </w:rPr>
      </w:pPr>
    </w:p>
    <w:p w14:paraId="2D2D0287" w14:textId="77777777" w:rsidR="00DE14AB" w:rsidRPr="00A75C02" w:rsidRDefault="002256BF">
      <w:pPr>
        <w:pStyle w:val="Heading1"/>
        <w:rPr>
          <w:color w:val="FFFFFF" w:themeColor="background1"/>
          <w:sz w:val="32"/>
          <w:szCs w:val="32"/>
        </w:rPr>
      </w:pPr>
      <w:r w:rsidRPr="00A75C02">
        <w:rPr>
          <w:color w:val="FFFFFF" w:themeColor="background1"/>
          <w:sz w:val="32"/>
          <w:szCs w:val="32"/>
          <w:highlight w:val="black"/>
        </w:rPr>
        <w:t>Absorption Facility</w:t>
      </w:r>
    </w:p>
    <w:p w14:paraId="32C6B8B4" w14:textId="77777777" w:rsidR="00DE14AB" w:rsidRDefault="00DE14AB">
      <w:pPr>
        <w:pStyle w:val="BodyText"/>
        <w:spacing w:before="1"/>
        <w:rPr>
          <w:b/>
          <w:sz w:val="24"/>
        </w:rPr>
      </w:pPr>
    </w:p>
    <w:p w14:paraId="3DDD66AF" w14:textId="65155EB2" w:rsidR="00DE14AB" w:rsidRDefault="002256BF" w:rsidP="002256BF">
      <w:pPr>
        <w:pStyle w:val="BodyText"/>
        <w:spacing w:line="235" w:lineRule="auto"/>
        <w:ind w:left="114" w:right="306" w:firstLine="2"/>
      </w:pPr>
      <w:r>
        <w:rPr>
          <w:color w:val="161616"/>
          <w:w w:val="105"/>
        </w:rPr>
        <w:t>The absorption facility is the last stage of the wastewater treatment process, where liquid is dispersed over media (typically soil) for secondary treatment, filtering, and ground water recharge</w:t>
      </w:r>
      <w:r>
        <w:rPr>
          <w:color w:val="313131"/>
          <w:w w:val="105"/>
        </w:rPr>
        <w:t xml:space="preserve">. </w:t>
      </w:r>
      <w:r>
        <w:rPr>
          <w:color w:val="161616"/>
          <w:w w:val="105"/>
        </w:rPr>
        <w:t xml:space="preserve">In cases where there are space restrictions, </w:t>
      </w:r>
      <w:proofErr w:type="gramStart"/>
      <w:r>
        <w:rPr>
          <w:color w:val="161616"/>
          <w:w w:val="105"/>
        </w:rPr>
        <w:t>close proximity</w:t>
      </w:r>
      <w:proofErr w:type="gramEnd"/>
      <w:r>
        <w:rPr>
          <w:color w:val="161616"/>
          <w:w w:val="105"/>
        </w:rPr>
        <w:t xml:space="preserve"> to a water table, or soil complications a </w:t>
      </w:r>
      <w:r w:rsidRPr="002256BF">
        <w:rPr>
          <w:color w:val="161616"/>
          <w:w w:val="105"/>
        </w:rPr>
        <w:t xml:space="preserve">capping fill </w:t>
      </w:r>
      <w:proofErr w:type="spellStart"/>
      <w:r w:rsidRPr="002256BF">
        <w:rPr>
          <w:color w:val="161616"/>
          <w:w w:val="105"/>
        </w:rPr>
        <w:t>drainfield</w:t>
      </w:r>
      <w:proofErr w:type="spellEnd"/>
      <w:r>
        <w:rPr>
          <w:rFonts w:ascii="Times New Roman"/>
          <w:color w:val="313131"/>
          <w:sz w:val="16"/>
        </w:rPr>
        <w:t xml:space="preserve">, </w:t>
      </w:r>
      <w:r w:rsidRPr="002256BF">
        <w:rPr>
          <w:color w:val="313131"/>
          <w:w w:val="105"/>
        </w:rPr>
        <w:t xml:space="preserve">pressure distribution </w:t>
      </w:r>
      <w:proofErr w:type="spellStart"/>
      <w:r w:rsidRPr="002256BF">
        <w:rPr>
          <w:color w:val="313131"/>
          <w:w w:val="105"/>
        </w:rPr>
        <w:t>drainfield</w:t>
      </w:r>
      <w:proofErr w:type="spellEnd"/>
      <w:r>
        <w:rPr>
          <w:rFonts w:ascii="Times New Roman"/>
          <w:color w:val="161616"/>
          <w:sz w:val="16"/>
        </w:rPr>
        <w:t xml:space="preserve">, </w:t>
      </w:r>
      <w:r>
        <w:rPr>
          <w:color w:val="161616"/>
          <w:w w:val="105"/>
        </w:rPr>
        <w:t xml:space="preserve">or </w:t>
      </w:r>
      <w:r w:rsidRPr="002256BF">
        <w:rPr>
          <w:color w:val="313131"/>
          <w:w w:val="105"/>
        </w:rPr>
        <w:t>bottomless sand filter</w:t>
      </w:r>
      <w:r>
        <w:t xml:space="preserve"> </w:t>
      </w:r>
      <w:r>
        <w:rPr>
          <w:color w:val="161616"/>
        </w:rPr>
        <w:t>may be required.</w:t>
      </w:r>
    </w:p>
    <w:p w14:paraId="71B919FE" w14:textId="77777777" w:rsidR="00DE14AB" w:rsidRDefault="00DE14AB">
      <w:pPr>
        <w:pStyle w:val="BodyText"/>
        <w:rPr>
          <w:sz w:val="20"/>
        </w:rPr>
      </w:pPr>
    </w:p>
    <w:p w14:paraId="65271DFB" w14:textId="00C2BCCE" w:rsidR="00DE14AB" w:rsidRDefault="00DE14AB">
      <w:pPr>
        <w:pStyle w:val="BodyText"/>
        <w:spacing w:before="2"/>
        <w:rPr>
          <w:sz w:val="22"/>
        </w:rPr>
      </w:pPr>
    </w:p>
    <w:p w14:paraId="5FF06DED" w14:textId="44FB449A" w:rsidR="00DE14AB" w:rsidRDefault="00DE14AB" w:rsidP="002256BF">
      <w:pPr>
        <w:pStyle w:val="ListParagraph"/>
        <w:tabs>
          <w:tab w:val="left" w:pos="896"/>
        </w:tabs>
        <w:ind w:left="895" w:firstLine="0"/>
        <w:jc w:val="center"/>
        <w:rPr>
          <w:sz w:val="15"/>
        </w:rPr>
      </w:pPr>
    </w:p>
    <w:p w14:paraId="72032C53" w14:textId="7EC8502E" w:rsidR="001916AE" w:rsidRPr="001916AE" w:rsidRDefault="001916AE" w:rsidP="001916AE"/>
    <w:p w14:paraId="686B30CE" w14:textId="5D597344" w:rsidR="001916AE" w:rsidRDefault="001916AE" w:rsidP="001916AE">
      <w:pPr>
        <w:tabs>
          <w:tab w:val="left" w:pos="3750"/>
        </w:tabs>
      </w:pPr>
    </w:p>
    <w:p w14:paraId="345DAB2B" w14:textId="2FBE84F6" w:rsidR="001916AE" w:rsidRDefault="001916AE" w:rsidP="001916AE">
      <w:pPr>
        <w:tabs>
          <w:tab w:val="left" w:pos="3750"/>
        </w:tabs>
        <w:ind w:left="2160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484BBF" w14:textId="6653E89B" w:rsidR="001916AE" w:rsidRDefault="001916AE" w:rsidP="001916AE">
      <w:pPr>
        <w:tabs>
          <w:tab w:val="left" w:pos="7035"/>
        </w:tabs>
        <w:jc w:val="center"/>
      </w:pPr>
      <w:r>
        <w:t xml:space="preserve">    </w:t>
      </w:r>
    </w:p>
    <w:p w14:paraId="21EE16B0" w14:textId="77777777" w:rsidR="0064324A" w:rsidRDefault="001916AE" w:rsidP="0064324A">
      <w:pPr>
        <w:ind w:left="720"/>
        <w:rPr>
          <w:noProof/>
        </w:rPr>
      </w:pPr>
      <w:r>
        <w:rPr>
          <w:noProof/>
        </w:rPr>
        <w:t xml:space="preserve"> </w:t>
      </w:r>
      <w:r w:rsidR="0064324A">
        <w:rPr>
          <w:noProof/>
        </w:rPr>
        <w:t xml:space="preserve"> </w:t>
      </w:r>
      <w:r w:rsidR="0064324A">
        <w:rPr>
          <w:noProof/>
        </w:rPr>
        <w:tab/>
        <w:t xml:space="preserve">                                                                                                            </w:t>
      </w:r>
    </w:p>
    <w:p w14:paraId="463E2284" w14:textId="32660CB0" w:rsidR="0064324A" w:rsidRDefault="0064324A" w:rsidP="0064324A">
      <w:pPr>
        <w:ind w:left="720"/>
        <w:rPr>
          <w:noProof/>
        </w:rPr>
      </w:pPr>
      <w:r w:rsidRPr="001916AE">
        <w:rPr>
          <w:noProof/>
        </w:rPr>
        <w:drawing>
          <wp:anchor distT="0" distB="0" distL="114300" distR="114300" simplePos="0" relativeHeight="251658752" behindDoc="0" locked="0" layoutInCell="1" allowOverlap="1" wp14:anchorId="50D3C4FA" wp14:editId="137A80D1">
            <wp:simplePos x="0" y="0"/>
            <wp:positionH relativeFrom="column">
              <wp:posOffset>3114675</wp:posOffset>
            </wp:positionH>
            <wp:positionV relativeFrom="paragraph">
              <wp:posOffset>9525</wp:posOffset>
            </wp:positionV>
            <wp:extent cx="1438275" cy="10858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CB3">
        <w:rPr>
          <w:noProof/>
        </w:rPr>
        <w:t xml:space="preserve"> </w:t>
      </w:r>
      <w:r>
        <w:rPr>
          <w:noProof/>
        </w:rPr>
        <w:t xml:space="preserve">                                                           </w:t>
      </w:r>
      <w:r w:rsidR="001916AE" w:rsidRPr="001916AE">
        <w:rPr>
          <w:noProof/>
        </w:rPr>
        <w:t>Department of Planning &amp;</w:t>
      </w:r>
    </w:p>
    <w:p w14:paraId="138760D9" w14:textId="3DA25393" w:rsidR="0064324A" w:rsidRDefault="0064324A" w:rsidP="0064324A">
      <w:pPr>
        <w:ind w:left="720"/>
        <w:rPr>
          <w:noProof/>
        </w:rPr>
      </w:pPr>
      <w:r>
        <w:rPr>
          <w:noProof/>
        </w:rPr>
        <w:t xml:space="preserve">                                                                        Devlopment</w:t>
      </w:r>
    </w:p>
    <w:p w14:paraId="2FE927AE" w14:textId="1A540A7C" w:rsidR="0064324A" w:rsidRDefault="0064324A" w:rsidP="0064324A">
      <w:pPr>
        <w:ind w:left="720"/>
      </w:pPr>
      <w:r>
        <w:t xml:space="preserve">                                                                        210 S. W. 2nd Street</w:t>
      </w:r>
    </w:p>
    <w:p w14:paraId="3EF57463" w14:textId="77777777" w:rsidR="00605CB3" w:rsidRDefault="0064324A" w:rsidP="00605CB3">
      <w:pPr>
        <w:ind w:left="720"/>
        <w:rPr>
          <w:noProof/>
        </w:rPr>
      </w:pPr>
      <w:r>
        <w:t xml:space="preserve">                                                               Newport, OR 97365</w:t>
      </w:r>
    </w:p>
    <w:p w14:paraId="0E41A51C" w14:textId="54CA6FE6" w:rsidR="0064324A" w:rsidRDefault="00605CB3" w:rsidP="00605CB3">
      <w:pPr>
        <w:ind w:left="3600"/>
        <w:rPr>
          <w:noProof/>
        </w:rPr>
      </w:pPr>
      <w:r>
        <w:rPr>
          <w:noProof/>
        </w:rPr>
        <w:t xml:space="preserve">           </w:t>
      </w:r>
      <w:r w:rsidR="0064324A">
        <w:t xml:space="preserve">(541) 265-4192   </w:t>
      </w:r>
    </w:p>
    <w:p w14:paraId="513FF38A" w14:textId="459721F8" w:rsidR="001916AE" w:rsidRPr="001916AE" w:rsidRDefault="0064324A" w:rsidP="00227BAF">
      <w:pPr>
        <w:ind w:left="2880"/>
      </w:pPr>
      <w:r>
        <w:t xml:space="preserve">                                                                                  Fax (541) 265-6945</w:t>
      </w:r>
      <w:r w:rsidR="00605CB3">
        <w:t xml:space="preserve">                                                         </w:t>
      </w:r>
      <w:r w:rsidR="00227BAF">
        <w:t>LConsite</w:t>
      </w:r>
      <w:r w:rsidR="00605CB3">
        <w:t>@co.lincoln.or.us</w:t>
      </w:r>
      <w:r>
        <w:t xml:space="preserve">       </w:t>
      </w:r>
      <w:r w:rsidR="001916AE">
        <w:br w:type="textWrapping" w:clear="all"/>
      </w:r>
    </w:p>
    <w:p w14:paraId="3EEA396C" w14:textId="3AA9C079" w:rsidR="001916AE" w:rsidRPr="001916AE" w:rsidRDefault="001916AE" w:rsidP="001916AE"/>
    <w:p w14:paraId="1D49AC70" w14:textId="2E690D4B" w:rsidR="001916AE" w:rsidRDefault="001916AE" w:rsidP="001916AE"/>
    <w:p w14:paraId="0F2FD077" w14:textId="5BDAD932" w:rsidR="001916AE" w:rsidRPr="001916AE" w:rsidRDefault="001916AE" w:rsidP="002A1BD0">
      <w:pPr>
        <w:jc w:val="center"/>
      </w:pPr>
      <w:r>
        <w:t xml:space="preserve">                                                               </w:t>
      </w:r>
    </w:p>
    <w:sectPr w:rsidR="001916AE" w:rsidRPr="001916AE">
      <w:type w:val="continuous"/>
      <w:pgSz w:w="12240" w:h="15840"/>
      <w:pgMar w:top="10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519"/>
    <w:multiLevelType w:val="hybridMultilevel"/>
    <w:tmpl w:val="4BCE756C"/>
    <w:lvl w:ilvl="0" w:tplc="4162C1E4">
      <w:start w:val="2"/>
      <w:numFmt w:val="decimal"/>
      <w:lvlText w:val="[%1]"/>
      <w:lvlJc w:val="left"/>
      <w:pPr>
        <w:ind w:left="784" w:hanging="222"/>
        <w:jc w:val="right"/>
      </w:pPr>
      <w:rPr>
        <w:rFonts w:ascii="Arial" w:eastAsia="Arial" w:hAnsi="Arial" w:cs="Arial" w:hint="default"/>
        <w:color w:val="161616"/>
        <w:spacing w:val="-1"/>
        <w:w w:val="109"/>
        <w:sz w:val="15"/>
        <w:szCs w:val="15"/>
      </w:rPr>
    </w:lvl>
    <w:lvl w:ilvl="1" w:tplc="EC8A31F4">
      <w:numFmt w:val="bullet"/>
      <w:lvlText w:val="•"/>
      <w:lvlJc w:val="left"/>
      <w:pPr>
        <w:ind w:left="1818" w:hanging="222"/>
      </w:pPr>
      <w:rPr>
        <w:rFonts w:hint="default"/>
      </w:rPr>
    </w:lvl>
    <w:lvl w:ilvl="2" w:tplc="B5BC6CEE">
      <w:numFmt w:val="bullet"/>
      <w:lvlText w:val="•"/>
      <w:lvlJc w:val="left"/>
      <w:pPr>
        <w:ind w:left="2856" w:hanging="222"/>
      </w:pPr>
      <w:rPr>
        <w:rFonts w:hint="default"/>
      </w:rPr>
    </w:lvl>
    <w:lvl w:ilvl="3" w:tplc="4EAA2F80">
      <w:numFmt w:val="bullet"/>
      <w:lvlText w:val="•"/>
      <w:lvlJc w:val="left"/>
      <w:pPr>
        <w:ind w:left="3894" w:hanging="222"/>
      </w:pPr>
      <w:rPr>
        <w:rFonts w:hint="default"/>
      </w:rPr>
    </w:lvl>
    <w:lvl w:ilvl="4" w:tplc="CD605EF0">
      <w:numFmt w:val="bullet"/>
      <w:lvlText w:val="•"/>
      <w:lvlJc w:val="left"/>
      <w:pPr>
        <w:ind w:left="4932" w:hanging="222"/>
      </w:pPr>
      <w:rPr>
        <w:rFonts w:hint="default"/>
      </w:rPr>
    </w:lvl>
    <w:lvl w:ilvl="5" w:tplc="ADBA5BE0">
      <w:numFmt w:val="bullet"/>
      <w:lvlText w:val="•"/>
      <w:lvlJc w:val="left"/>
      <w:pPr>
        <w:ind w:left="5970" w:hanging="222"/>
      </w:pPr>
      <w:rPr>
        <w:rFonts w:hint="default"/>
      </w:rPr>
    </w:lvl>
    <w:lvl w:ilvl="6" w:tplc="12A820A6">
      <w:numFmt w:val="bullet"/>
      <w:lvlText w:val="•"/>
      <w:lvlJc w:val="left"/>
      <w:pPr>
        <w:ind w:left="7008" w:hanging="222"/>
      </w:pPr>
      <w:rPr>
        <w:rFonts w:hint="default"/>
      </w:rPr>
    </w:lvl>
    <w:lvl w:ilvl="7" w:tplc="E55A5476">
      <w:numFmt w:val="bullet"/>
      <w:lvlText w:val="•"/>
      <w:lvlJc w:val="left"/>
      <w:pPr>
        <w:ind w:left="8046" w:hanging="222"/>
      </w:pPr>
      <w:rPr>
        <w:rFonts w:hint="default"/>
      </w:rPr>
    </w:lvl>
    <w:lvl w:ilvl="8" w:tplc="A8101638">
      <w:numFmt w:val="bullet"/>
      <w:lvlText w:val="•"/>
      <w:lvlJc w:val="left"/>
      <w:pPr>
        <w:ind w:left="9084" w:hanging="2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AB"/>
    <w:rsid w:val="0012724D"/>
    <w:rsid w:val="001916AE"/>
    <w:rsid w:val="002166BC"/>
    <w:rsid w:val="002256BF"/>
    <w:rsid w:val="00227BAF"/>
    <w:rsid w:val="002A1BD0"/>
    <w:rsid w:val="00605CB3"/>
    <w:rsid w:val="0064324A"/>
    <w:rsid w:val="007D0F65"/>
    <w:rsid w:val="00A75C02"/>
    <w:rsid w:val="00DD495A"/>
    <w:rsid w:val="00D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CEDF"/>
  <w15:docId w15:val="{13A04271-2F92-432C-BF06-68C9A80B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5"/>
      <w:ind w:left="784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Lincoln, OR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L. Crawford</dc:creator>
  <cp:lastModifiedBy>Brian L. Crawford</cp:lastModifiedBy>
  <cp:revision>2</cp:revision>
  <dcterms:created xsi:type="dcterms:W3CDTF">2025-04-11T18:06:00Z</dcterms:created>
  <dcterms:modified xsi:type="dcterms:W3CDTF">2025-04-11T18:06:00Z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Canon iR-ADV C5540  PDF</vt:lpwstr>
  </property>
  <property fmtid="{D5CDD505-2E9C-101B-9397-08002B2CF9AE}" pid="4" name="LastSaved">
    <vt:filetime>2022-01-06T00:00:00Z</vt:filetime>
  </property>
</Properties>
</file>